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1D58" w:rsidRPr="00303D59" w:rsidRDefault="00121D58" w:rsidP="008D7375">
      <w:r w:rsidRPr="00303D59">
        <w:t>MI</w:t>
      </w:r>
      <w:r w:rsidR="00303D59" w:rsidRPr="00303D59">
        <w:t>E</w:t>
      </w:r>
      <w:r w:rsidR="00B84DBB">
        <w:t xml:space="preserve"> 201</w:t>
      </w:r>
      <w:r w:rsidRPr="00303D59">
        <w:t>1 TRANSFoRm abstract draft</w:t>
      </w:r>
    </w:p>
    <w:p w:rsidR="00121D58" w:rsidRDefault="005973AE" w:rsidP="008D7375">
      <w:pPr>
        <w:pStyle w:val="AMIATitle"/>
        <w:spacing w:after="0"/>
        <w:rPr>
          <w:lang w:val="en-GB"/>
        </w:rPr>
      </w:pPr>
      <w:r>
        <w:rPr>
          <w:lang w:val="en-GB"/>
        </w:rPr>
        <w:t xml:space="preserve">The specification of a semantically </w:t>
      </w:r>
      <w:r w:rsidR="00121D58" w:rsidRPr="00303D59">
        <w:rPr>
          <w:lang w:val="en-GB"/>
        </w:rPr>
        <w:t xml:space="preserve">enriched </w:t>
      </w:r>
      <w:proofErr w:type="spellStart"/>
      <w:r w:rsidR="00121D58" w:rsidRPr="00303D59">
        <w:rPr>
          <w:lang w:val="en-GB"/>
        </w:rPr>
        <w:t>eCRF</w:t>
      </w:r>
      <w:proofErr w:type="spellEnd"/>
      <w:r w:rsidR="00121D58" w:rsidRPr="00303D59">
        <w:rPr>
          <w:lang w:val="en-GB"/>
        </w:rPr>
        <w:t xml:space="preserve"> tool</w:t>
      </w:r>
    </w:p>
    <w:p w:rsidR="008D7375" w:rsidRPr="008D7375" w:rsidRDefault="008D7375" w:rsidP="008D7375">
      <w:pPr>
        <w:pStyle w:val="AMIAAuthors"/>
        <w:rPr>
          <w:lang w:val="en-GB"/>
        </w:rPr>
      </w:pPr>
    </w:p>
    <w:p w:rsidR="00121D58" w:rsidRPr="00303D59" w:rsidRDefault="00121D58" w:rsidP="008D7375">
      <w:pPr>
        <w:pStyle w:val="AMIAAuthors"/>
        <w:rPr>
          <w:sz w:val="20"/>
          <w:lang w:val="en-GB"/>
        </w:rPr>
      </w:pPr>
      <w:r w:rsidRPr="00303D59">
        <w:rPr>
          <w:sz w:val="20"/>
          <w:lang w:val="en-GB"/>
        </w:rPr>
        <w:t>Anna Nixon Andreasson PhD</w:t>
      </w:r>
      <w:bookmarkStart w:id="0" w:name="_GoBack"/>
      <w:bookmarkEnd w:id="0"/>
      <w:r w:rsidRPr="00303D59">
        <w:rPr>
          <w:sz w:val="20"/>
          <w:vertAlign w:val="superscript"/>
          <w:lang w:val="en-GB"/>
        </w:rPr>
        <w:t>1</w:t>
      </w:r>
      <w:r w:rsidRPr="00303D59">
        <w:rPr>
          <w:sz w:val="20"/>
          <w:lang w:val="en-GB"/>
        </w:rPr>
        <w:t xml:space="preserve">, </w:t>
      </w:r>
      <w:r w:rsidR="00303D59" w:rsidRPr="00303D59">
        <w:rPr>
          <w:sz w:val="20"/>
          <w:lang w:val="en-GB"/>
        </w:rPr>
        <w:t>Johan Ellenius, PhD</w:t>
      </w:r>
      <w:r w:rsidR="00303D59" w:rsidRPr="00303D59">
        <w:rPr>
          <w:sz w:val="20"/>
          <w:vertAlign w:val="superscript"/>
          <w:lang w:val="en-GB"/>
        </w:rPr>
        <w:t>1</w:t>
      </w:r>
      <w:r w:rsidR="00303D59" w:rsidRPr="00303D59">
        <w:rPr>
          <w:sz w:val="20"/>
          <w:lang w:val="en-GB"/>
        </w:rPr>
        <w:t xml:space="preserve">, </w:t>
      </w:r>
      <w:r w:rsidR="00D367F8" w:rsidRPr="00303D59">
        <w:rPr>
          <w:sz w:val="20"/>
          <w:lang w:val="en-GB"/>
        </w:rPr>
        <w:t>Lars Agreus, MD</w:t>
      </w:r>
      <w:r w:rsidR="00D367F8" w:rsidRPr="00303D59">
        <w:rPr>
          <w:bCs/>
          <w:sz w:val="20"/>
          <w:vertAlign w:val="superscript"/>
          <w:lang w:val="en-GB"/>
        </w:rPr>
        <w:t>1</w:t>
      </w:r>
      <w:r w:rsidR="00D367F8" w:rsidRPr="00303D59">
        <w:rPr>
          <w:sz w:val="20"/>
          <w:lang w:val="en-GB"/>
        </w:rPr>
        <w:t xml:space="preserve">, </w:t>
      </w:r>
      <w:r w:rsidRPr="00303D59">
        <w:rPr>
          <w:sz w:val="20"/>
          <w:lang w:val="en-GB"/>
        </w:rPr>
        <w:t>Brendan C Delaney, MD</w:t>
      </w:r>
      <w:r w:rsidRPr="00303D59">
        <w:rPr>
          <w:sz w:val="20"/>
          <w:vertAlign w:val="superscript"/>
          <w:lang w:val="en-GB"/>
        </w:rPr>
        <w:t>2</w:t>
      </w:r>
      <w:r w:rsidRPr="00303D59">
        <w:rPr>
          <w:sz w:val="20"/>
          <w:lang w:val="en-GB"/>
        </w:rPr>
        <w:t>, Paul van</w:t>
      </w:r>
      <w:r w:rsidR="00303D59">
        <w:rPr>
          <w:sz w:val="20"/>
          <w:lang w:val="en-GB"/>
        </w:rPr>
        <w:t xml:space="preserve"> </w:t>
      </w:r>
      <w:r w:rsidRPr="00303D59">
        <w:rPr>
          <w:sz w:val="20"/>
          <w:lang w:val="en-GB"/>
        </w:rPr>
        <w:t>Royen, MD</w:t>
      </w:r>
      <w:r w:rsidRPr="00303D59">
        <w:rPr>
          <w:sz w:val="20"/>
          <w:vertAlign w:val="superscript"/>
          <w:lang w:val="en-GB"/>
        </w:rPr>
        <w:t xml:space="preserve">3, </w:t>
      </w:r>
      <w:r w:rsidRPr="00303D59">
        <w:rPr>
          <w:sz w:val="20"/>
          <w:lang w:val="en-GB"/>
        </w:rPr>
        <w:t>Adel Taweel PhD</w:t>
      </w:r>
      <w:r w:rsidRPr="00303D59">
        <w:rPr>
          <w:bCs/>
          <w:sz w:val="20"/>
          <w:vertAlign w:val="superscript"/>
          <w:lang w:val="en-GB"/>
        </w:rPr>
        <w:t>2</w:t>
      </w:r>
      <w:r w:rsidRPr="00303D59">
        <w:rPr>
          <w:sz w:val="20"/>
          <w:lang w:val="en-GB"/>
        </w:rPr>
        <w:t>, on behalf of the TRANSFoRm Consortium.</w:t>
      </w:r>
    </w:p>
    <w:p w:rsidR="00121D58" w:rsidRDefault="00121D58" w:rsidP="008D7375">
      <w:pPr>
        <w:pStyle w:val="AMIAAffiliations"/>
        <w:spacing w:after="0"/>
        <w:rPr>
          <w:sz w:val="20"/>
          <w:lang w:val="en-GB"/>
        </w:rPr>
      </w:pPr>
      <w:r w:rsidRPr="00303D59">
        <w:rPr>
          <w:bCs/>
          <w:sz w:val="20"/>
          <w:vertAlign w:val="superscript"/>
          <w:lang w:val="en-GB"/>
        </w:rPr>
        <w:t>3</w:t>
      </w:r>
      <w:r w:rsidRPr="00303D59">
        <w:rPr>
          <w:sz w:val="20"/>
          <w:lang w:val="en-GB"/>
        </w:rPr>
        <w:t xml:space="preserve">Karolinska </w:t>
      </w:r>
      <w:proofErr w:type="spellStart"/>
      <w:r w:rsidRPr="00303D59">
        <w:rPr>
          <w:sz w:val="20"/>
          <w:lang w:val="en-GB"/>
        </w:rPr>
        <w:t>Institutet</w:t>
      </w:r>
      <w:proofErr w:type="spellEnd"/>
      <w:r w:rsidRPr="00303D59">
        <w:rPr>
          <w:sz w:val="20"/>
          <w:lang w:val="en-GB"/>
        </w:rPr>
        <w:t>, Sweden,</w:t>
      </w:r>
      <w:r w:rsidRPr="00303D59">
        <w:rPr>
          <w:sz w:val="20"/>
          <w:vertAlign w:val="superscript"/>
          <w:lang w:val="en-GB"/>
        </w:rPr>
        <w:t xml:space="preserve"> 2</w:t>
      </w:r>
      <w:r w:rsidR="008D7375">
        <w:rPr>
          <w:sz w:val="20"/>
          <w:lang w:val="en-GB"/>
        </w:rPr>
        <w:t>King’s College London, UK,</w:t>
      </w:r>
      <w:r w:rsidRPr="00303D59">
        <w:rPr>
          <w:sz w:val="20"/>
          <w:lang w:val="en-GB"/>
        </w:rPr>
        <w:t xml:space="preserve"> </w:t>
      </w:r>
      <w:r w:rsidRPr="00303D59">
        <w:rPr>
          <w:sz w:val="20"/>
          <w:vertAlign w:val="superscript"/>
          <w:lang w:val="en-GB"/>
        </w:rPr>
        <w:t>3</w:t>
      </w:r>
      <w:r w:rsidRPr="00303D59">
        <w:rPr>
          <w:sz w:val="20"/>
          <w:lang w:val="en-GB"/>
        </w:rPr>
        <w:t>University of Antwerp, Belgium</w:t>
      </w:r>
    </w:p>
    <w:p w:rsidR="008D7375" w:rsidRPr="00303D59" w:rsidRDefault="008D7375" w:rsidP="008D7375">
      <w:pPr>
        <w:pStyle w:val="AMIAAffiliations"/>
        <w:spacing w:after="0"/>
        <w:rPr>
          <w:sz w:val="20"/>
          <w:lang w:val="en-GB"/>
        </w:rPr>
      </w:pPr>
    </w:p>
    <w:p w:rsidR="00121D58" w:rsidRDefault="00121D58" w:rsidP="008D7375">
      <w:pPr>
        <w:pStyle w:val="AMIAAffiliations"/>
        <w:spacing w:after="0"/>
        <w:rPr>
          <w:lang w:val="en-GB"/>
        </w:rPr>
      </w:pPr>
      <w:r w:rsidRPr="00303D59">
        <w:rPr>
          <w:lang w:val="en-GB"/>
        </w:rPr>
        <w:t>Abstract</w:t>
      </w:r>
    </w:p>
    <w:p w:rsidR="008D7375" w:rsidRPr="00303D59" w:rsidRDefault="008D7375" w:rsidP="008D7375">
      <w:pPr>
        <w:pStyle w:val="AMIAAffiliations"/>
        <w:spacing w:after="0"/>
        <w:rPr>
          <w:lang w:val="en-GB"/>
        </w:rPr>
      </w:pPr>
    </w:p>
    <w:p w:rsidR="00121D58" w:rsidRPr="00303D59" w:rsidRDefault="00303D59" w:rsidP="008D7375">
      <w:pPr>
        <w:pStyle w:val="AMIAAbstract"/>
        <w:spacing w:after="0"/>
        <w:rPr>
          <w:lang w:val="en-GB"/>
        </w:rPr>
      </w:pPr>
      <w:r>
        <w:rPr>
          <w:lang w:val="en-GB"/>
        </w:rPr>
        <w:t>TRANSFoRm (www.transformproject</w:t>
      </w:r>
      <w:r w:rsidR="00121D58" w:rsidRPr="00303D59">
        <w:rPr>
          <w:lang w:val="en-GB"/>
        </w:rPr>
        <w:t xml:space="preserve">.eu) is a 5-year, 18 partner integrated project part-funded by the European Commission that aims to develop the infrastructure for the learning healthcare system in Europe. During the first year of the project, we have developed </w:t>
      </w:r>
      <w:r>
        <w:rPr>
          <w:lang w:val="en-GB"/>
        </w:rPr>
        <w:t>two</w:t>
      </w:r>
      <w:r w:rsidR="00121D58" w:rsidRPr="00303D59">
        <w:rPr>
          <w:lang w:val="en-GB"/>
        </w:rPr>
        <w:t xml:space="preserve"> use cases and conducted a detailed requirements analysis. The purpose of the two use cases is to serve as a vision for the development of models and systems.</w:t>
      </w:r>
      <w:r w:rsidR="008D7375">
        <w:rPr>
          <w:lang w:val="en-GB"/>
        </w:rPr>
        <w:t xml:space="preserve"> </w:t>
      </w:r>
      <w:r w:rsidR="00FD7F0C">
        <w:rPr>
          <w:lang w:val="en-GB"/>
        </w:rPr>
        <w:t>Here, we only report the GERD use case</w:t>
      </w:r>
      <w:r w:rsidR="00766CE3" w:rsidRPr="00FD7F0C">
        <w:rPr>
          <w:lang w:val="en-GB"/>
        </w:rPr>
        <w:t>.</w:t>
      </w:r>
      <w:r w:rsidR="00766CE3">
        <w:rPr>
          <w:lang w:val="en-GB"/>
        </w:rPr>
        <w:t xml:space="preserve"> </w:t>
      </w:r>
      <w:r w:rsidR="008D7375">
        <w:rPr>
          <w:lang w:val="en-GB"/>
        </w:rPr>
        <w:t xml:space="preserve">The specific aim of the GERD use case was to define the functional requirements of an RCT. </w:t>
      </w:r>
    </w:p>
    <w:p w:rsidR="00783129" w:rsidRDefault="00783129" w:rsidP="008D7375">
      <w:pPr>
        <w:pStyle w:val="AMIAHeading"/>
        <w:spacing w:before="0" w:after="0"/>
        <w:rPr>
          <w:lang w:val="en-GB"/>
        </w:rPr>
      </w:pPr>
    </w:p>
    <w:p w:rsidR="00121D58" w:rsidRPr="00303D59" w:rsidRDefault="00303D59" w:rsidP="008D7375">
      <w:pPr>
        <w:pStyle w:val="AMIAHeading"/>
        <w:spacing w:before="0" w:after="0"/>
        <w:rPr>
          <w:lang w:val="en-GB"/>
        </w:rPr>
      </w:pPr>
      <w:r w:rsidRPr="00303D59">
        <w:rPr>
          <w:lang w:val="en-GB"/>
        </w:rPr>
        <w:t>A</w:t>
      </w:r>
      <w:r w:rsidR="00121D58" w:rsidRPr="00303D59">
        <w:rPr>
          <w:lang w:val="en-GB"/>
        </w:rPr>
        <w:t xml:space="preserve"> </w:t>
      </w:r>
      <w:r w:rsidRPr="00303D59">
        <w:rPr>
          <w:lang w:val="en-GB"/>
        </w:rPr>
        <w:t>Randomized</w:t>
      </w:r>
      <w:r w:rsidR="00121D58" w:rsidRPr="00303D59">
        <w:rPr>
          <w:lang w:val="en-GB"/>
        </w:rPr>
        <w:t xml:space="preserve"> Controlled Trial (RCT) with event-d</w:t>
      </w:r>
      <w:r w:rsidR="00766CE3">
        <w:rPr>
          <w:lang w:val="en-GB"/>
        </w:rPr>
        <w:t>riven, patient related outcomes</w:t>
      </w:r>
    </w:p>
    <w:p w:rsidR="00121D58" w:rsidRPr="00303D59" w:rsidRDefault="00121D58" w:rsidP="008D7375">
      <w:pPr>
        <w:pStyle w:val="AMIABodyText"/>
        <w:spacing w:after="0"/>
        <w:rPr>
          <w:lang w:val="en-GB"/>
        </w:rPr>
      </w:pPr>
      <w:r w:rsidRPr="00303D59">
        <w:rPr>
          <w:lang w:val="en-GB"/>
        </w:rPr>
        <w:t>Gastro-</w:t>
      </w:r>
      <w:proofErr w:type="spellStart"/>
      <w:r w:rsidR="00303D59" w:rsidRPr="00303D59">
        <w:rPr>
          <w:lang w:val="en-GB"/>
        </w:rPr>
        <w:t>esophageal</w:t>
      </w:r>
      <w:proofErr w:type="spellEnd"/>
      <w:r w:rsidRPr="00303D59">
        <w:rPr>
          <w:lang w:val="en-GB"/>
        </w:rPr>
        <w:t xml:space="preserve"> Reflux disease (GERD) causes pain and is associated with an increased risk of </w:t>
      </w:r>
      <w:proofErr w:type="spellStart"/>
      <w:r w:rsidRPr="00303D59">
        <w:rPr>
          <w:lang w:val="en-GB"/>
        </w:rPr>
        <w:t>esophageal</w:t>
      </w:r>
      <w:proofErr w:type="spellEnd"/>
      <w:r w:rsidRPr="00303D59">
        <w:rPr>
          <w:lang w:val="en-GB"/>
        </w:rPr>
        <w:t xml:space="preserve"> adenocarcinoma. Proton Pump Inhibitors (PPI) can alleviate </w:t>
      </w:r>
      <w:r w:rsidR="00641DB4">
        <w:rPr>
          <w:lang w:val="en-GB"/>
        </w:rPr>
        <w:t xml:space="preserve">reflux </w:t>
      </w:r>
      <w:r w:rsidRPr="00303D59">
        <w:rPr>
          <w:lang w:val="en-GB"/>
        </w:rPr>
        <w:t xml:space="preserve">symptoms. </w:t>
      </w:r>
      <w:r w:rsidR="00FA60D6">
        <w:rPr>
          <w:lang w:val="en-GB"/>
        </w:rPr>
        <w:t>In this use case, t</w:t>
      </w:r>
      <w:r w:rsidRPr="00303D59">
        <w:rPr>
          <w:lang w:val="en-GB"/>
        </w:rPr>
        <w:t>he following question</w:t>
      </w:r>
      <w:r w:rsidR="00FA60D6">
        <w:rPr>
          <w:lang w:val="en-GB"/>
        </w:rPr>
        <w:t xml:space="preserve"> is </w:t>
      </w:r>
      <w:r w:rsidRPr="00303D59">
        <w:rPr>
          <w:lang w:val="en-GB"/>
        </w:rPr>
        <w:t>addressed by the proposed study: Estimate the relative effectiveness of PPI, either taken continuously or ‘on demand’ (sufficient to relieve symptomatic episodes) on</w:t>
      </w:r>
      <w:r w:rsidR="00E87F0F">
        <w:rPr>
          <w:lang w:val="en-GB"/>
        </w:rPr>
        <w:t xml:space="preserve"> the symptoms </w:t>
      </w:r>
      <w:r w:rsidRPr="00303D59">
        <w:rPr>
          <w:lang w:val="en-GB"/>
        </w:rPr>
        <w:t xml:space="preserve">and quality of life of patients with GERD. </w:t>
      </w:r>
    </w:p>
    <w:p w:rsidR="00783129" w:rsidRDefault="00783129" w:rsidP="008D7375">
      <w:pPr>
        <w:pStyle w:val="AMIABodyText"/>
        <w:spacing w:after="0"/>
        <w:rPr>
          <w:b/>
          <w:lang w:val="en-GB"/>
        </w:rPr>
      </w:pPr>
    </w:p>
    <w:p w:rsidR="00121D58" w:rsidRPr="00303D59" w:rsidRDefault="00766CE3" w:rsidP="008D7375">
      <w:pPr>
        <w:pStyle w:val="AMIABodyText"/>
        <w:spacing w:after="0"/>
        <w:rPr>
          <w:b/>
          <w:lang w:val="en-GB"/>
        </w:rPr>
      </w:pPr>
      <w:r>
        <w:rPr>
          <w:b/>
          <w:lang w:val="en-GB"/>
        </w:rPr>
        <w:t>Use case development</w:t>
      </w:r>
    </w:p>
    <w:p w:rsidR="00EC17DE" w:rsidRDefault="008D7375" w:rsidP="008D7375">
      <w:pPr>
        <w:pStyle w:val="AMIABodyText"/>
        <w:spacing w:after="0"/>
        <w:rPr>
          <w:lang w:val="en-GB"/>
        </w:rPr>
      </w:pPr>
      <w:r>
        <w:rPr>
          <w:lang w:val="en-GB"/>
        </w:rPr>
        <w:t xml:space="preserve">The clinical research groups designed a study based on the research question. </w:t>
      </w:r>
      <w:r w:rsidR="00121D58" w:rsidRPr="00303D59">
        <w:rPr>
          <w:lang w:val="en-GB"/>
        </w:rPr>
        <w:t xml:space="preserve">A series of meetings was held between the development teams </w:t>
      </w:r>
      <w:r w:rsidR="00676155">
        <w:rPr>
          <w:lang w:val="en-GB"/>
        </w:rPr>
        <w:t>and the clinical research group, where the use case was</w:t>
      </w:r>
      <w:r w:rsidR="00121D58" w:rsidRPr="00303D59">
        <w:rPr>
          <w:lang w:val="en-GB"/>
        </w:rPr>
        <w:t xml:space="preserve"> elaborated </w:t>
      </w:r>
      <w:r w:rsidR="005973AE">
        <w:rPr>
          <w:lang w:val="en-GB"/>
        </w:rPr>
        <w:t>which permitted us to define functional requirements</w:t>
      </w:r>
      <w:r w:rsidR="00EC17DE">
        <w:rPr>
          <w:lang w:val="en-GB"/>
        </w:rPr>
        <w:t xml:space="preserve">. The </w:t>
      </w:r>
      <w:r>
        <w:rPr>
          <w:lang w:val="en-GB"/>
        </w:rPr>
        <w:t xml:space="preserve">main </w:t>
      </w:r>
      <w:r w:rsidR="00EC17DE">
        <w:rPr>
          <w:lang w:val="en-GB"/>
        </w:rPr>
        <w:t xml:space="preserve">functionality requirements of the </w:t>
      </w:r>
      <w:r>
        <w:rPr>
          <w:lang w:val="en-GB"/>
        </w:rPr>
        <w:t>use cas</w:t>
      </w:r>
      <w:r w:rsidR="00EC17DE">
        <w:rPr>
          <w:lang w:val="en-GB"/>
        </w:rPr>
        <w:t xml:space="preserve">e are presented in the table. </w:t>
      </w:r>
      <w:r w:rsidR="00676155">
        <w:rPr>
          <w:lang w:val="en-GB"/>
        </w:rPr>
        <w:t xml:space="preserve">The non-functional requirements will be presented at a later stage. </w:t>
      </w:r>
    </w:p>
    <w:p w:rsidR="005D5AD6" w:rsidRDefault="005D5AD6" w:rsidP="008D7375">
      <w:pPr>
        <w:pStyle w:val="AMIABodyText"/>
        <w:spacing w:after="0"/>
        <w:rPr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76"/>
        <w:gridCol w:w="6836"/>
      </w:tblGrid>
      <w:tr w:rsidR="00FA60D6" w:rsidTr="00676155">
        <w:tc>
          <w:tcPr>
            <w:tcW w:w="2376" w:type="dxa"/>
          </w:tcPr>
          <w:p w:rsidR="00FA60D6" w:rsidRDefault="00676155" w:rsidP="00676155">
            <w:pPr>
              <w:pStyle w:val="AMIAHeading"/>
              <w:spacing w:before="0" w:after="0"/>
              <w:rPr>
                <w:lang w:val="en-GB"/>
              </w:rPr>
            </w:pPr>
            <w:r>
              <w:rPr>
                <w:lang w:val="en-GB"/>
              </w:rPr>
              <w:t>Functional r</w:t>
            </w:r>
            <w:r w:rsidR="00FA60D6">
              <w:rPr>
                <w:lang w:val="en-GB"/>
              </w:rPr>
              <w:t>equirement</w:t>
            </w:r>
          </w:p>
        </w:tc>
        <w:tc>
          <w:tcPr>
            <w:tcW w:w="6836" w:type="dxa"/>
          </w:tcPr>
          <w:p w:rsidR="00FA60D6" w:rsidRDefault="00FA60D6" w:rsidP="008D7375">
            <w:pPr>
              <w:pStyle w:val="AMIAHeading"/>
              <w:spacing w:before="0" w:after="0"/>
              <w:rPr>
                <w:lang w:val="en-GB"/>
              </w:rPr>
            </w:pPr>
            <w:r>
              <w:rPr>
                <w:lang w:val="en-GB"/>
              </w:rPr>
              <w:t>Note</w:t>
            </w:r>
          </w:p>
        </w:tc>
      </w:tr>
      <w:tr w:rsidR="007937E4" w:rsidRPr="005D5AD6" w:rsidTr="00676155">
        <w:tc>
          <w:tcPr>
            <w:tcW w:w="2376" w:type="dxa"/>
          </w:tcPr>
          <w:p w:rsidR="007937E4" w:rsidRPr="005D5AD6" w:rsidRDefault="007937E4" w:rsidP="008D7375">
            <w:pPr>
              <w:pStyle w:val="AMIAHeading"/>
              <w:spacing w:before="0" w:after="0"/>
              <w:rPr>
                <w:b w:val="0"/>
                <w:lang w:val="en-GB"/>
              </w:rPr>
            </w:pPr>
            <w:r w:rsidRPr="005D5AD6">
              <w:rPr>
                <w:b w:val="0"/>
                <w:lang w:val="en-GB"/>
              </w:rPr>
              <w:t>Find patient</w:t>
            </w:r>
          </w:p>
        </w:tc>
        <w:tc>
          <w:tcPr>
            <w:tcW w:w="6836" w:type="dxa"/>
          </w:tcPr>
          <w:p w:rsidR="007937E4" w:rsidRPr="005D5AD6" w:rsidRDefault="007937E4" w:rsidP="008D7375">
            <w:pPr>
              <w:pStyle w:val="AMIAHeading"/>
              <w:spacing w:before="0" w:after="0"/>
              <w:rPr>
                <w:b w:val="0"/>
                <w:lang w:val="en-GB"/>
              </w:rPr>
            </w:pPr>
            <w:r w:rsidRPr="005D5AD6">
              <w:rPr>
                <w:b w:val="0"/>
                <w:lang w:val="en-GB"/>
              </w:rPr>
              <w:t xml:space="preserve">Possible eligible patients flagged in </w:t>
            </w:r>
            <w:proofErr w:type="spellStart"/>
            <w:r w:rsidRPr="005D5AD6">
              <w:rPr>
                <w:b w:val="0"/>
                <w:lang w:val="en-GB"/>
              </w:rPr>
              <w:t>eHR</w:t>
            </w:r>
            <w:proofErr w:type="spellEnd"/>
            <w:r w:rsidR="005D5AD6" w:rsidRPr="005D5AD6">
              <w:rPr>
                <w:b w:val="0"/>
                <w:lang w:val="en-GB"/>
              </w:rPr>
              <w:t xml:space="preserve"> for real time recruitment</w:t>
            </w:r>
          </w:p>
        </w:tc>
      </w:tr>
      <w:tr w:rsidR="007937E4" w:rsidRPr="005D5AD6" w:rsidTr="00676155">
        <w:tc>
          <w:tcPr>
            <w:tcW w:w="2376" w:type="dxa"/>
          </w:tcPr>
          <w:p w:rsidR="007937E4" w:rsidRPr="005D5AD6" w:rsidRDefault="007937E4" w:rsidP="008D7375">
            <w:pPr>
              <w:pStyle w:val="AMIAHeading"/>
              <w:spacing w:before="0" w:after="0"/>
              <w:rPr>
                <w:b w:val="0"/>
                <w:lang w:val="en-GB"/>
              </w:rPr>
            </w:pPr>
            <w:r w:rsidRPr="005D5AD6">
              <w:rPr>
                <w:b w:val="0"/>
                <w:lang w:val="en-GB"/>
              </w:rPr>
              <w:t>Patient sampling</w:t>
            </w:r>
          </w:p>
        </w:tc>
        <w:tc>
          <w:tcPr>
            <w:tcW w:w="6836" w:type="dxa"/>
          </w:tcPr>
          <w:p w:rsidR="007937E4" w:rsidRPr="005D5AD6" w:rsidRDefault="007937E4" w:rsidP="008D7375">
            <w:pPr>
              <w:pStyle w:val="AMIAHeading"/>
              <w:spacing w:before="0" w:after="0"/>
              <w:rPr>
                <w:b w:val="0"/>
                <w:lang w:val="en-GB"/>
              </w:rPr>
            </w:pPr>
            <w:r w:rsidRPr="005D5AD6">
              <w:rPr>
                <w:b w:val="0"/>
                <w:lang w:val="en-GB"/>
              </w:rPr>
              <w:t>Test of PPI responsiveness</w:t>
            </w:r>
            <w:r w:rsidR="005D5AD6" w:rsidRPr="005D5AD6">
              <w:rPr>
                <w:b w:val="0"/>
                <w:lang w:val="en-GB"/>
              </w:rPr>
              <w:t xml:space="preserve"> according to protocol</w:t>
            </w:r>
          </w:p>
        </w:tc>
      </w:tr>
      <w:tr w:rsidR="007937E4" w:rsidRPr="005D5AD6" w:rsidTr="00676155">
        <w:tc>
          <w:tcPr>
            <w:tcW w:w="2376" w:type="dxa"/>
          </w:tcPr>
          <w:p w:rsidR="007937E4" w:rsidRPr="005D5AD6" w:rsidRDefault="007937E4" w:rsidP="008D7375">
            <w:pPr>
              <w:pStyle w:val="AMIAHeading"/>
              <w:spacing w:before="0" w:after="0"/>
              <w:rPr>
                <w:b w:val="0"/>
                <w:lang w:val="en-GB"/>
              </w:rPr>
            </w:pPr>
            <w:r w:rsidRPr="005D5AD6">
              <w:rPr>
                <w:b w:val="0"/>
                <w:lang w:val="en-GB"/>
              </w:rPr>
              <w:t>Randomize patients</w:t>
            </w:r>
          </w:p>
        </w:tc>
        <w:tc>
          <w:tcPr>
            <w:tcW w:w="6836" w:type="dxa"/>
          </w:tcPr>
          <w:p w:rsidR="007937E4" w:rsidRPr="005D5AD6" w:rsidRDefault="005D5AD6" w:rsidP="008D7375">
            <w:pPr>
              <w:pStyle w:val="AMIAHeading"/>
              <w:spacing w:before="0" w:after="0"/>
              <w:rPr>
                <w:b w:val="0"/>
                <w:lang w:val="en-GB"/>
              </w:rPr>
            </w:pPr>
            <w:r w:rsidRPr="005D5AD6">
              <w:rPr>
                <w:b w:val="0"/>
                <w:lang w:val="en-GB"/>
              </w:rPr>
              <w:t>Contact with randomization agent or built in randomization tool</w:t>
            </w:r>
          </w:p>
        </w:tc>
      </w:tr>
      <w:tr w:rsidR="00B407F0" w:rsidRPr="005D5AD6" w:rsidTr="00676155">
        <w:tc>
          <w:tcPr>
            <w:tcW w:w="2376" w:type="dxa"/>
          </w:tcPr>
          <w:p w:rsidR="00B407F0" w:rsidRPr="005D5AD6" w:rsidRDefault="00B407F0" w:rsidP="008D7375">
            <w:pPr>
              <w:pStyle w:val="AMIAHeading"/>
              <w:spacing w:before="0" w:after="0"/>
              <w:rPr>
                <w:b w:val="0"/>
                <w:lang w:val="en-GB"/>
              </w:rPr>
            </w:pPr>
            <w:r w:rsidRPr="005D5AD6">
              <w:rPr>
                <w:b w:val="0"/>
                <w:lang w:val="en-GB"/>
              </w:rPr>
              <w:t>Data linkage</w:t>
            </w:r>
            <w:r w:rsidR="007937E4" w:rsidRPr="005D5AD6">
              <w:rPr>
                <w:b w:val="0"/>
                <w:lang w:val="en-GB"/>
              </w:rPr>
              <w:t xml:space="preserve"> in real time</w:t>
            </w:r>
          </w:p>
        </w:tc>
        <w:tc>
          <w:tcPr>
            <w:tcW w:w="6836" w:type="dxa"/>
          </w:tcPr>
          <w:p w:rsidR="00B407F0" w:rsidRPr="005D5AD6" w:rsidRDefault="00C570CF" w:rsidP="008D7375">
            <w:pPr>
              <w:pStyle w:val="AMIAHeading"/>
              <w:spacing w:before="0" w:after="0"/>
              <w:rPr>
                <w:b w:val="0"/>
                <w:lang w:val="en-GB"/>
              </w:rPr>
            </w:pPr>
            <w:r w:rsidRPr="005D5AD6">
              <w:rPr>
                <w:b w:val="0"/>
                <w:lang w:val="en-GB"/>
              </w:rPr>
              <w:t xml:space="preserve">Linking </w:t>
            </w:r>
            <w:r w:rsidR="007937E4" w:rsidRPr="005D5AD6">
              <w:rPr>
                <w:b w:val="0"/>
                <w:lang w:val="en-GB"/>
              </w:rPr>
              <w:t>research</w:t>
            </w:r>
            <w:r w:rsidRPr="005D5AD6">
              <w:rPr>
                <w:b w:val="0"/>
                <w:lang w:val="en-GB"/>
              </w:rPr>
              <w:t xml:space="preserve"> data </w:t>
            </w:r>
            <w:r w:rsidR="007937E4" w:rsidRPr="005D5AD6">
              <w:rPr>
                <w:b w:val="0"/>
                <w:lang w:val="en-GB"/>
              </w:rPr>
              <w:t xml:space="preserve">from web based questionnaires, </w:t>
            </w:r>
            <w:proofErr w:type="spellStart"/>
            <w:r w:rsidR="007937E4" w:rsidRPr="005D5AD6">
              <w:rPr>
                <w:b w:val="0"/>
                <w:lang w:val="en-GB"/>
              </w:rPr>
              <w:t>eHR</w:t>
            </w:r>
            <w:proofErr w:type="spellEnd"/>
            <w:r w:rsidR="007937E4" w:rsidRPr="005D5AD6">
              <w:rPr>
                <w:b w:val="0"/>
                <w:lang w:val="en-GB"/>
              </w:rPr>
              <w:t xml:space="preserve"> and other databases in real time</w:t>
            </w:r>
          </w:p>
        </w:tc>
      </w:tr>
      <w:tr w:rsidR="00FA60D6" w:rsidRPr="005D5AD6" w:rsidTr="00676155">
        <w:tc>
          <w:tcPr>
            <w:tcW w:w="2376" w:type="dxa"/>
          </w:tcPr>
          <w:p w:rsidR="00FA60D6" w:rsidRPr="005D5AD6" w:rsidRDefault="00FA60D6" w:rsidP="008D7375">
            <w:pPr>
              <w:pStyle w:val="AMIAHeading"/>
              <w:spacing w:before="0" w:after="0"/>
              <w:rPr>
                <w:b w:val="0"/>
                <w:lang w:val="en-GB"/>
              </w:rPr>
            </w:pPr>
            <w:r w:rsidRPr="005D5AD6">
              <w:rPr>
                <w:b w:val="0"/>
                <w:lang w:val="en-GB"/>
              </w:rPr>
              <w:t>Data display for GP</w:t>
            </w:r>
          </w:p>
        </w:tc>
        <w:tc>
          <w:tcPr>
            <w:tcW w:w="6836" w:type="dxa"/>
          </w:tcPr>
          <w:p w:rsidR="00FA60D6" w:rsidRPr="005D5AD6" w:rsidRDefault="00FA60D6" w:rsidP="009568AB">
            <w:pPr>
              <w:pStyle w:val="AMIAHeading"/>
              <w:spacing w:before="0" w:after="0"/>
              <w:jc w:val="left"/>
              <w:rPr>
                <w:b w:val="0"/>
                <w:lang w:val="en-GB"/>
              </w:rPr>
            </w:pPr>
            <w:r w:rsidRPr="005D5AD6">
              <w:rPr>
                <w:b w:val="0"/>
                <w:lang w:val="en-GB"/>
              </w:rPr>
              <w:t>Selection of data to expose for GP to facilitate on health care. Flag missing</w:t>
            </w:r>
            <w:r w:rsidR="00766CE3">
              <w:rPr>
                <w:b w:val="0"/>
                <w:lang w:val="en-GB"/>
              </w:rPr>
              <w:t xml:space="preserve"> or </w:t>
            </w:r>
            <w:r w:rsidRPr="005D5AD6">
              <w:rPr>
                <w:b w:val="0"/>
                <w:lang w:val="en-GB"/>
              </w:rPr>
              <w:t xml:space="preserve">inconsistent data. </w:t>
            </w:r>
          </w:p>
        </w:tc>
      </w:tr>
      <w:tr w:rsidR="00FA60D6" w:rsidRPr="005D5AD6" w:rsidTr="00676155">
        <w:tc>
          <w:tcPr>
            <w:tcW w:w="2376" w:type="dxa"/>
          </w:tcPr>
          <w:p w:rsidR="00FA60D6" w:rsidRPr="005D5AD6" w:rsidRDefault="00B407F0" w:rsidP="008D7375">
            <w:pPr>
              <w:pStyle w:val="AMIAHeading"/>
              <w:spacing w:before="0" w:after="0"/>
              <w:rPr>
                <w:b w:val="0"/>
                <w:lang w:val="en-GB"/>
              </w:rPr>
            </w:pPr>
            <w:r w:rsidRPr="005D5AD6">
              <w:rPr>
                <w:b w:val="0"/>
                <w:lang w:val="en-GB"/>
              </w:rPr>
              <w:t>Data approval of GP</w:t>
            </w:r>
          </w:p>
        </w:tc>
        <w:tc>
          <w:tcPr>
            <w:tcW w:w="6836" w:type="dxa"/>
          </w:tcPr>
          <w:p w:rsidR="00FA60D6" w:rsidRPr="005D5AD6" w:rsidRDefault="00B407F0" w:rsidP="008D7375">
            <w:pPr>
              <w:pStyle w:val="AMIAHeading"/>
              <w:spacing w:before="0" w:after="0"/>
              <w:rPr>
                <w:b w:val="0"/>
                <w:lang w:val="en-GB"/>
              </w:rPr>
            </w:pPr>
            <w:r w:rsidRPr="005D5AD6">
              <w:rPr>
                <w:b w:val="0"/>
                <w:lang w:val="en-GB"/>
              </w:rPr>
              <w:t xml:space="preserve">Data extracted from </w:t>
            </w:r>
            <w:proofErr w:type="spellStart"/>
            <w:r w:rsidRPr="005D5AD6">
              <w:rPr>
                <w:b w:val="0"/>
                <w:lang w:val="en-GB"/>
              </w:rPr>
              <w:t>eHR</w:t>
            </w:r>
            <w:proofErr w:type="spellEnd"/>
            <w:r w:rsidRPr="005D5AD6">
              <w:rPr>
                <w:b w:val="0"/>
                <w:lang w:val="en-GB"/>
              </w:rPr>
              <w:t xml:space="preserve"> approved by GP</w:t>
            </w:r>
          </w:p>
        </w:tc>
      </w:tr>
      <w:tr w:rsidR="005D5AD6" w:rsidRPr="005D5AD6" w:rsidTr="00676155">
        <w:tc>
          <w:tcPr>
            <w:tcW w:w="2376" w:type="dxa"/>
          </w:tcPr>
          <w:p w:rsidR="005D5AD6" w:rsidRPr="005D5AD6" w:rsidRDefault="005D5AD6" w:rsidP="008D7375">
            <w:pPr>
              <w:pStyle w:val="AMIAHeading"/>
              <w:spacing w:before="0" w:after="0"/>
              <w:rPr>
                <w:b w:val="0"/>
                <w:lang w:val="en-GB"/>
              </w:rPr>
            </w:pPr>
            <w:proofErr w:type="spellStart"/>
            <w:r w:rsidRPr="005D5AD6">
              <w:rPr>
                <w:b w:val="0"/>
                <w:lang w:val="en-GB"/>
              </w:rPr>
              <w:t>Anonymization</w:t>
            </w:r>
            <w:proofErr w:type="spellEnd"/>
            <w:r w:rsidRPr="005D5AD6">
              <w:rPr>
                <w:b w:val="0"/>
                <w:lang w:val="en-GB"/>
              </w:rPr>
              <w:t xml:space="preserve"> of data</w:t>
            </w:r>
          </w:p>
        </w:tc>
        <w:tc>
          <w:tcPr>
            <w:tcW w:w="6836" w:type="dxa"/>
          </w:tcPr>
          <w:p w:rsidR="005D5AD6" w:rsidRPr="005D5AD6" w:rsidRDefault="005D5AD6" w:rsidP="008D7375">
            <w:pPr>
              <w:pStyle w:val="AMIAHeading"/>
              <w:spacing w:before="0" w:after="0"/>
              <w:rPr>
                <w:b w:val="0"/>
                <w:lang w:val="en-GB"/>
              </w:rPr>
            </w:pPr>
            <w:r w:rsidRPr="005D5AD6">
              <w:rPr>
                <w:b w:val="0"/>
                <w:lang w:val="en-GB"/>
              </w:rPr>
              <w:t>Easy removal of personal identifiers before data transfer from clinic to researcher</w:t>
            </w:r>
          </w:p>
        </w:tc>
      </w:tr>
      <w:tr w:rsidR="00FA60D6" w:rsidRPr="005D5AD6" w:rsidTr="00676155">
        <w:tc>
          <w:tcPr>
            <w:tcW w:w="2376" w:type="dxa"/>
          </w:tcPr>
          <w:p w:rsidR="00FA60D6" w:rsidRPr="005D5AD6" w:rsidRDefault="00C570CF" w:rsidP="008D7375">
            <w:pPr>
              <w:pStyle w:val="AMIAHeading"/>
              <w:spacing w:before="0" w:after="0"/>
              <w:rPr>
                <w:b w:val="0"/>
                <w:lang w:val="en-GB"/>
              </w:rPr>
            </w:pPr>
            <w:r w:rsidRPr="005D5AD6">
              <w:rPr>
                <w:b w:val="0"/>
                <w:lang w:val="en-GB"/>
              </w:rPr>
              <w:t>Data storage</w:t>
            </w:r>
          </w:p>
        </w:tc>
        <w:tc>
          <w:tcPr>
            <w:tcW w:w="6836" w:type="dxa"/>
          </w:tcPr>
          <w:p w:rsidR="00FA60D6" w:rsidRPr="005D5AD6" w:rsidRDefault="00C570CF" w:rsidP="008D7375">
            <w:pPr>
              <w:pStyle w:val="AMIAHeading"/>
              <w:spacing w:before="0" w:after="0"/>
              <w:rPr>
                <w:b w:val="0"/>
                <w:lang w:val="en-GB"/>
              </w:rPr>
            </w:pPr>
            <w:r w:rsidRPr="005D5AD6">
              <w:rPr>
                <w:b w:val="0"/>
                <w:lang w:val="en-GB"/>
              </w:rPr>
              <w:t>Data stored in a format that can be delivered and used by researcher</w:t>
            </w:r>
          </w:p>
        </w:tc>
      </w:tr>
    </w:tbl>
    <w:p w:rsidR="00FA60D6" w:rsidRDefault="00FA60D6" w:rsidP="008D7375">
      <w:pPr>
        <w:pStyle w:val="AMIAHeading"/>
        <w:spacing w:before="0" w:after="0"/>
        <w:rPr>
          <w:lang w:val="en-GB"/>
        </w:rPr>
      </w:pPr>
    </w:p>
    <w:p w:rsidR="005973AE" w:rsidRPr="005D5AD6" w:rsidRDefault="005973AE" w:rsidP="005973AE">
      <w:pPr>
        <w:pStyle w:val="AMIABodyText"/>
        <w:spacing w:after="0"/>
        <w:rPr>
          <w:b/>
          <w:lang w:val="en-GB"/>
        </w:rPr>
      </w:pPr>
      <w:r>
        <w:rPr>
          <w:b/>
          <w:lang w:val="en-GB"/>
        </w:rPr>
        <w:t xml:space="preserve">A </w:t>
      </w:r>
      <w:r w:rsidR="008E5A16">
        <w:rPr>
          <w:b/>
          <w:lang w:val="en-GB"/>
        </w:rPr>
        <w:t xml:space="preserve">semantically enriched </w:t>
      </w:r>
      <w:proofErr w:type="spellStart"/>
      <w:r w:rsidR="008E5A16">
        <w:rPr>
          <w:b/>
          <w:lang w:val="en-GB"/>
        </w:rPr>
        <w:t>e</w:t>
      </w:r>
      <w:r>
        <w:rPr>
          <w:b/>
          <w:lang w:val="en-GB"/>
        </w:rPr>
        <w:t>CRF</w:t>
      </w:r>
      <w:proofErr w:type="spellEnd"/>
      <w:r w:rsidR="008E5A16">
        <w:rPr>
          <w:b/>
          <w:lang w:val="en-GB"/>
        </w:rPr>
        <w:t xml:space="preserve"> tool</w:t>
      </w:r>
    </w:p>
    <w:p w:rsidR="005973AE" w:rsidRDefault="005973AE" w:rsidP="005973AE">
      <w:pPr>
        <w:pStyle w:val="AMIABodyText"/>
        <w:spacing w:after="0"/>
        <w:rPr>
          <w:lang w:val="en-GB"/>
        </w:rPr>
      </w:pPr>
      <w:r>
        <w:rPr>
          <w:lang w:val="en-GB"/>
        </w:rPr>
        <w:t>In clinical trials, a case report form (CRF) is used for the recording of study specific patient data. In this use case, we propose the development of an enriched CRF tool that fulfils the</w:t>
      </w:r>
      <w:r w:rsidRPr="00303D59">
        <w:rPr>
          <w:lang w:val="en-GB"/>
        </w:rPr>
        <w:t xml:space="preserve"> key functional requirements </w:t>
      </w:r>
      <w:r>
        <w:rPr>
          <w:lang w:val="en-GB"/>
        </w:rPr>
        <w:t xml:space="preserve">posed on the infrastructure with the ability to communicate with the general practitioner (GP), possibly patient, as well as external databases and facilities. </w:t>
      </w:r>
    </w:p>
    <w:p w:rsidR="005973AE" w:rsidRDefault="005973AE" w:rsidP="005973AE">
      <w:pPr>
        <w:pStyle w:val="AMIAHeading"/>
        <w:spacing w:before="0" w:after="0"/>
        <w:rPr>
          <w:rFonts w:asciiTheme="minorHAnsi" w:eastAsia="Calibri" w:hAnsiTheme="minorHAnsi" w:cstheme="minorBidi"/>
          <w:b w:val="0"/>
          <w:sz w:val="22"/>
          <w:szCs w:val="22"/>
          <w:lang w:val="sv-SE" w:eastAsia="sv-SE"/>
        </w:rPr>
      </w:pPr>
    </w:p>
    <w:p w:rsidR="00121D58" w:rsidRPr="00303D59" w:rsidRDefault="00121D58" w:rsidP="008D7375">
      <w:pPr>
        <w:pStyle w:val="AMIAHeading"/>
        <w:spacing w:before="0" w:after="0"/>
        <w:rPr>
          <w:lang w:val="en-GB"/>
        </w:rPr>
      </w:pPr>
      <w:r w:rsidRPr="00303D59">
        <w:rPr>
          <w:lang w:val="en-GB"/>
        </w:rPr>
        <w:t>Conclusion</w:t>
      </w:r>
    </w:p>
    <w:p w:rsidR="001226FB" w:rsidRDefault="001226FB" w:rsidP="008D7375">
      <w:pPr>
        <w:pStyle w:val="AMIABodyText"/>
        <w:spacing w:after="0"/>
        <w:rPr>
          <w:lang w:val="en-GB"/>
        </w:rPr>
      </w:pPr>
      <w:r>
        <w:rPr>
          <w:lang w:val="en-GB"/>
        </w:rPr>
        <w:t xml:space="preserve">Support by an enriched </w:t>
      </w:r>
      <w:proofErr w:type="spellStart"/>
      <w:r>
        <w:rPr>
          <w:lang w:val="en-GB"/>
        </w:rPr>
        <w:t>eCRF</w:t>
      </w:r>
      <w:proofErr w:type="spellEnd"/>
      <w:r>
        <w:rPr>
          <w:lang w:val="en-GB"/>
        </w:rPr>
        <w:t xml:space="preserve"> that transparently merges and filters health care and study data for the GP and the researcher respectively, may facilitate research in primary health care. </w:t>
      </w:r>
    </w:p>
    <w:p w:rsidR="001226FB" w:rsidRDefault="001226FB" w:rsidP="008D7375">
      <w:pPr>
        <w:pStyle w:val="AMIABodyText"/>
        <w:spacing w:after="0"/>
        <w:rPr>
          <w:lang w:val="en-GB"/>
        </w:rPr>
      </w:pPr>
    </w:p>
    <w:p w:rsidR="00121D58" w:rsidRPr="00303D59" w:rsidRDefault="00121D58" w:rsidP="008D7375">
      <w:pPr>
        <w:pStyle w:val="AMIABodyText"/>
        <w:spacing w:after="0"/>
        <w:rPr>
          <w:lang w:val="en-GB"/>
        </w:rPr>
      </w:pPr>
      <w:r w:rsidRPr="00303D59">
        <w:rPr>
          <w:lang w:val="en-GB"/>
        </w:rPr>
        <w:t>TRANSFoRm is partially funded by the European Commission  - DG INFSO (FP7 247787)</w:t>
      </w:r>
    </w:p>
    <w:sectPr w:rsidR="00121D58" w:rsidRPr="00303D59" w:rsidSect="002A0084">
      <w:footerReference w:type="even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76C7" w:rsidRDefault="007A76C7" w:rsidP="00852593">
      <w:pPr>
        <w:spacing w:line="240" w:lineRule="auto"/>
      </w:pPr>
      <w:r>
        <w:separator/>
      </w:r>
    </w:p>
  </w:endnote>
  <w:endnote w:type="continuationSeparator" w:id="0">
    <w:p w:rsidR="007A76C7" w:rsidRDefault="007A76C7" w:rsidP="0085259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7DA4" w:rsidRDefault="0003385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121D58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121D58">
      <w:rPr>
        <w:rStyle w:val="PageNumber"/>
        <w:noProof/>
      </w:rPr>
      <w:t>1</w:t>
    </w:r>
    <w:r>
      <w:rPr>
        <w:rStyle w:val="PageNumber"/>
      </w:rPr>
      <w:fldChar w:fldCharType="end"/>
    </w:r>
  </w:p>
  <w:p w:rsidR="00147DA4" w:rsidRDefault="006A2EED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7DA4" w:rsidRDefault="006A2EED">
    <w:pPr>
      <w:pStyle w:val="Footer"/>
      <w:framePr w:wrap="around" w:vAnchor="text" w:hAnchor="margin" w:xAlign="right" w:y="1"/>
      <w:rPr>
        <w:rStyle w:val="PageNumber"/>
      </w:rPr>
    </w:pPr>
  </w:p>
  <w:p w:rsidR="00147DA4" w:rsidRDefault="006A2EED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76C7" w:rsidRDefault="007A76C7" w:rsidP="00852593">
      <w:pPr>
        <w:spacing w:line="240" w:lineRule="auto"/>
      </w:pPr>
      <w:r>
        <w:separator/>
      </w:r>
    </w:p>
  </w:footnote>
  <w:footnote w:type="continuationSeparator" w:id="0">
    <w:p w:rsidR="007A76C7" w:rsidRDefault="007A76C7" w:rsidP="00852593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D58"/>
    <w:rsid w:val="00033855"/>
    <w:rsid w:val="00121D58"/>
    <w:rsid w:val="001226FB"/>
    <w:rsid w:val="002824B6"/>
    <w:rsid w:val="0028666F"/>
    <w:rsid w:val="002A0084"/>
    <w:rsid w:val="00303D59"/>
    <w:rsid w:val="004A1664"/>
    <w:rsid w:val="004B4471"/>
    <w:rsid w:val="004B5ACB"/>
    <w:rsid w:val="005321FD"/>
    <w:rsid w:val="005973AE"/>
    <w:rsid w:val="005D5AD6"/>
    <w:rsid w:val="00641DB4"/>
    <w:rsid w:val="00676155"/>
    <w:rsid w:val="006A2EED"/>
    <w:rsid w:val="00766CE3"/>
    <w:rsid w:val="00783129"/>
    <w:rsid w:val="007937E4"/>
    <w:rsid w:val="007A76C7"/>
    <w:rsid w:val="00852593"/>
    <w:rsid w:val="00867BD8"/>
    <w:rsid w:val="008A765E"/>
    <w:rsid w:val="008D7375"/>
    <w:rsid w:val="008E5A16"/>
    <w:rsid w:val="009568AB"/>
    <w:rsid w:val="0099400F"/>
    <w:rsid w:val="009A0F62"/>
    <w:rsid w:val="00A55C58"/>
    <w:rsid w:val="00A61A55"/>
    <w:rsid w:val="00B25AFC"/>
    <w:rsid w:val="00B407F0"/>
    <w:rsid w:val="00B84DBB"/>
    <w:rsid w:val="00BC3A15"/>
    <w:rsid w:val="00C570CF"/>
    <w:rsid w:val="00D367F8"/>
    <w:rsid w:val="00E87F0F"/>
    <w:rsid w:val="00EC17DE"/>
    <w:rsid w:val="00FA60D6"/>
    <w:rsid w:val="00FC4A58"/>
    <w:rsid w:val="00FD7F0C"/>
    <w:rsid w:val="00FF3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libr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A55"/>
    <w:pPr>
      <w:spacing w:after="0" w:line="360" w:lineRule="auto"/>
    </w:pPr>
    <w:rPr>
      <w:rFonts w:cs="Times New Roman"/>
      <w:sz w:val="24"/>
      <w:szCs w:val="20"/>
      <w:lang w:val="en-GB" w:eastAsia="en-GB"/>
    </w:rPr>
  </w:style>
  <w:style w:type="paragraph" w:styleId="Heading2">
    <w:name w:val="heading 2"/>
    <w:basedOn w:val="Normal"/>
    <w:next w:val="Normal"/>
    <w:link w:val="Heading2Char"/>
    <w:autoRedefine/>
    <w:qFormat/>
    <w:rsid w:val="00A61A55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A61A55"/>
    <w:rPr>
      <w:rFonts w:ascii="Cambria" w:eastAsia="Calibri" w:hAnsi="Cambria" w:cs="Times New Roman"/>
      <w:b/>
      <w:bCs/>
      <w:color w:val="4F81BD"/>
      <w:sz w:val="26"/>
      <w:szCs w:val="26"/>
      <w:lang w:val="en-GB" w:eastAsia="en-GB"/>
    </w:rPr>
  </w:style>
  <w:style w:type="paragraph" w:customStyle="1" w:styleId="AMIABodyText">
    <w:name w:val="AMIA Body Text"/>
    <w:basedOn w:val="Normal"/>
    <w:rsid w:val="00121D58"/>
    <w:pPr>
      <w:suppressAutoHyphens/>
      <w:spacing w:after="120" w:line="240" w:lineRule="auto"/>
      <w:jc w:val="both"/>
    </w:pPr>
    <w:rPr>
      <w:rFonts w:ascii="Times New Roman" w:eastAsia="Times New Roman" w:hAnsi="Times New Roman"/>
      <w:sz w:val="20"/>
      <w:lang w:val="en-US" w:eastAsia="en-US"/>
    </w:rPr>
  </w:style>
  <w:style w:type="paragraph" w:styleId="Footer">
    <w:name w:val="footer"/>
    <w:basedOn w:val="Normal"/>
    <w:link w:val="FooterChar"/>
    <w:rsid w:val="00121D58"/>
    <w:pPr>
      <w:tabs>
        <w:tab w:val="center" w:pos="4320"/>
        <w:tab w:val="right" w:pos="8640"/>
      </w:tabs>
      <w:spacing w:line="240" w:lineRule="auto"/>
    </w:pPr>
    <w:rPr>
      <w:rFonts w:ascii="Times New Roman" w:eastAsia="Times New Roman" w:hAnsi="Times New Roman"/>
      <w:sz w:val="20"/>
      <w:lang w:val="en-US" w:eastAsia="en-US"/>
    </w:rPr>
  </w:style>
  <w:style w:type="character" w:customStyle="1" w:styleId="FooterChar">
    <w:name w:val="Footer Char"/>
    <w:basedOn w:val="DefaultParagraphFont"/>
    <w:link w:val="Footer"/>
    <w:rsid w:val="00121D58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PageNumber">
    <w:name w:val="page number"/>
    <w:basedOn w:val="DefaultParagraphFont"/>
    <w:rsid w:val="00121D58"/>
  </w:style>
  <w:style w:type="paragraph" w:customStyle="1" w:styleId="AMIATitle">
    <w:name w:val="AMIA Title"/>
    <w:basedOn w:val="Normal"/>
    <w:next w:val="AMIAAuthors"/>
    <w:rsid w:val="00121D58"/>
    <w:pPr>
      <w:spacing w:after="280" w:line="240" w:lineRule="auto"/>
      <w:jc w:val="center"/>
    </w:pPr>
    <w:rPr>
      <w:rFonts w:ascii="Times New Roman" w:eastAsia="Times New Roman" w:hAnsi="Times New Roman"/>
      <w:b/>
      <w:sz w:val="28"/>
      <w:lang w:val="en-US" w:eastAsia="en-US"/>
    </w:rPr>
  </w:style>
  <w:style w:type="paragraph" w:customStyle="1" w:styleId="AMIAAuthors">
    <w:name w:val="AMIA Authors"/>
    <w:basedOn w:val="Normal"/>
    <w:next w:val="AMIAAffiliations"/>
    <w:rsid w:val="00121D58"/>
    <w:pPr>
      <w:spacing w:line="240" w:lineRule="auto"/>
      <w:jc w:val="center"/>
    </w:pPr>
    <w:rPr>
      <w:rFonts w:ascii="Times New Roman" w:eastAsia="Times New Roman" w:hAnsi="Times New Roman"/>
      <w:b/>
      <w:lang w:val="en-US" w:eastAsia="en-US"/>
    </w:rPr>
  </w:style>
  <w:style w:type="paragraph" w:customStyle="1" w:styleId="AMIAAffiliations">
    <w:name w:val="AMIA Affiliations"/>
    <w:basedOn w:val="Normal"/>
    <w:rsid w:val="00121D58"/>
    <w:pPr>
      <w:spacing w:after="240" w:line="240" w:lineRule="auto"/>
      <w:jc w:val="center"/>
    </w:pPr>
    <w:rPr>
      <w:rFonts w:ascii="Times New Roman" w:eastAsia="Times New Roman" w:hAnsi="Times New Roman"/>
      <w:b/>
      <w:lang w:val="en-US" w:eastAsia="en-US"/>
    </w:rPr>
  </w:style>
  <w:style w:type="paragraph" w:customStyle="1" w:styleId="AMIAAbstract">
    <w:name w:val="AMIA Abstract"/>
    <w:basedOn w:val="Normal"/>
    <w:rsid w:val="00121D58"/>
    <w:pPr>
      <w:spacing w:after="120" w:line="240" w:lineRule="auto"/>
      <w:jc w:val="both"/>
    </w:pPr>
    <w:rPr>
      <w:rFonts w:ascii="Times New Roman" w:eastAsia="Times New Roman" w:hAnsi="Times New Roman"/>
      <w:i/>
      <w:sz w:val="20"/>
      <w:lang w:val="en-US" w:eastAsia="en-US"/>
    </w:rPr>
  </w:style>
  <w:style w:type="paragraph" w:customStyle="1" w:styleId="AMIAHeading">
    <w:name w:val="AMIA Heading"/>
    <w:basedOn w:val="Normal"/>
    <w:rsid w:val="00121D58"/>
    <w:pPr>
      <w:keepNext/>
      <w:spacing w:before="120" w:after="120" w:line="240" w:lineRule="auto"/>
      <w:jc w:val="both"/>
      <w:outlineLvl w:val="0"/>
    </w:pPr>
    <w:rPr>
      <w:rFonts w:ascii="Times New Roman" w:eastAsia="Times New Roman" w:hAnsi="Times New Roman"/>
      <w:b/>
      <w:sz w:val="20"/>
      <w:lang w:val="en-US" w:eastAsia="en-US"/>
    </w:rPr>
  </w:style>
  <w:style w:type="paragraph" w:customStyle="1" w:styleId="AMIAAbstractHeading">
    <w:name w:val="AMIA Abstract Heading"/>
    <w:basedOn w:val="AMIAHeading"/>
    <w:rsid w:val="00121D58"/>
    <w:pPr>
      <w:spacing w:before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A765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765E"/>
    <w:rPr>
      <w:rFonts w:ascii="Tahoma" w:hAnsi="Tahoma" w:cs="Tahoma"/>
      <w:sz w:val="16"/>
      <w:szCs w:val="16"/>
      <w:lang w:val="en-GB" w:eastAsia="en-GB"/>
    </w:rPr>
  </w:style>
  <w:style w:type="table" w:styleId="TableGrid">
    <w:name w:val="Table Grid"/>
    <w:basedOn w:val="TableNormal"/>
    <w:uiPriority w:val="59"/>
    <w:rsid w:val="00FA60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Calibr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A55"/>
    <w:pPr>
      <w:spacing w:after="0" w:line="360" w:lineRule="auto"/>
    </w:pPr>
    <w:rPr>
      <w:rFonts w:cs="Times New Roman"/>
      <w:sz w:val="24"/>
      <w:szCs w:val="20"/>
      <w:lang w:val="en-GB" w:eastAsia="en-GB"/>
    </w:rPr>
  </w:style>
  <w:style w:type="paragraph" w:styleId="Heading2">
    <w:name w:val="heading 2"/>
    <w:basedOn w:val="Normal"/>
    <w:next w:val="Normal"/>
    <w:link w:val="Heading2Char"/>
    <w:autoRedefine/>
    <w:qFormat/>
    <w:rsid w:val="00A61A55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A61A55"/>
    <w:rPr>
      <w:rFonts w:ascii="Cambria" w:eastAsia="Calibri" w:hAnsi="Cambria" w:cs="Times New Roman"/>
      <w:b/>
      <w:bCs/>
      <w:color w:val="4F81BD"/>
      <w:sz w:val="26"/>
      <w:szCs w:val="26"/>
      <w:lang w:val="en-GB" w:eastAsia="en-GB"/>
    </w:rPr>
  </w:style>
  <w:style w:type="paragraph" w:customStyle="1" w:styleId="AMIABodyText">
    <w:name w:val="AMIA Body Text"/>
    <w:basedOn w:val="Normal"/>
    <w:rsid w:val="00121D58"/>
    <w:pPr>
      <w:suppressAutoHyphens/>
      <w:spacing w:after="120" w:line="240" w:lineRule="auto"/>
      <w:jc w:val="both"/>
    </w:pPr>
    <w:rPr>
      <w:rFonts w:ascii="Times New Roman" w:eastAsia="Times New Roman" w:hAnsi="Times New Roman"/>
      <w:sz w:val="20"/>
      <w:lang w:val="en-US" w:eastAsia="en-US"/>
    </w:rPr>
  </w:style>
  <w:style w:type="paragraph" w:styleId="Footer">
    <w:name w:val="footer"/>
    <w:basedOn w:val="Normal"/>
    <w:link w:val="FooterChar"/>
    <w:rsid w:val="00121D58"/>
    <w:pPr>
      <w:tabs>
        <w:tab w:val="center" w:pos="4320"/>
        <w:tab w:val="right" w:pos="8640"/>
      </w:tabs>
      <w:spacing w:line="240" w:lineRule="auto"/>
    </w:pPr>
    <w:rPr>
      <w:rFonts w:ascii="Times New Roman" w:eastAsia="Times New Roman" w:hAnsi="Times New Roman"/>
      <w:sz w:val="20"/>
      <w:lang w:val="en-US" w:eastAsia="en-US"/>
    </w:rPr>
  </w:style>
  <w:style w:type="character" w:customStyle="1" w:styleId="FooterChar">
    <w:name w:val="Footer Char"/>
    <w:basedOn w:val="DefaultParagraphFont"/>
    <w:link w:val="Footer"/>
    <w:rsid w:val="00121D58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PageNumber">
    <w:name w:val="page number"/>
    <w:basedOn w:val="DefaultParagraphFont"/>
    <w:rsid w:val="00121D58"/>
  </w:style>
  <w:style w:type="paragraph" w:customStyle="1" w:styleId="AMIATitle">
    <w:name w:val="AMIA Title"/>
    <w:basedOn w:val="Normal"/>
    <w:next w:val="AMIAAuthors"/>
    <w:rsid w:val="00121D58"/>
    <w:pPr>
      <w:spacing w:after="280" w:line="240" w:lineRule="auto"/>
      <w:jc w:val="center"/>
    </w:pPr>
    <w:rPr>
      <w:rFonts w:ascii="Times New Roman" w:eastAsia="Times New Roman" w:hAnsi="Times New Roman"/>
      <w:b/>
      <w:sz w:val="28"/>
      <w:lang w:val="en-US" w:eastAsia="en-US"/>
    </w:rPr>
  </w:style>
  <w:style w:type="paragraph" w:customStyle="1" w:styleId="AMIAAuthors">
    <w:name w:val="AMIA Authors"/>
    <w:basedOn w:val="Normal"/>
    <w:next w:val="AMIAAffiliations"/>
    <w:rsid w:val="00121D58"/>
    <w:pPr>
      <w:spacing w:line="240" w:lineRule="auto"/>
      <w:jc w:val="center"/>
    </w:pPr>
    <w:rPr>
      <w:rFonts w:ascii="Times New Roman" w:eastAsia="Times New Roman" w:hAnsi="Times New Roman"/>
      <w:b/>
      <w:lang w:val="en-US" w:eastAsia="en-US"/>
    </w:rPr>
  </w:style>
  <w:style w:type="paragraph" w:customStyle="1" w:styleId="AMIAAffiliations">
    <w:name w:val="AMIA Affiliations"/>
    <w:basedOn w:val="Normal"/>
    <w:rsid w:val="00121D58"/>
    <w:pPr>
      <w:spacing w:after="240" w:line="240" w:lineRule="auto"/>
      <w:jc w:val="center"/>
    </w:pPr>
    <w:rPr>
      <w:rFonts w:ascii="Times New Roman" w:eastAsia="Times New Roman" w:hAnsi="Times New Roman"/>
      <w:b/>
      <w:lang w:val="en-US" w:eastAsia="en-US"/>
    </w:rPr>
  </w:style>
  <w:style w:type="paragraph" w:customStyle="1" w:styleId="AMIAAbstract">
    <w:name w:val="AMIA Abstract"/>
    <w:basedOn w:val="Normal"/>
    <w:rsid w:val="00121D58"/>
    <w:pPr>
      <w:spacing w:after="120" w:line="240" w:lineRule="auto"/>
      <w:jc w:val="both"/>
    </w:pPr>
    <w:rPr>
      <w:rFonts w:ascii="Times New Roman" w:eastAsia="Times New Roman" w:hAnsi="Times New Roman"/>
      <w:i/>
      <w:sz w:val="20"/>
      <w:lang w:val="en-US" w:eastAsia="en-US"/>
    </w:rPr>
  </w:style>
  <w:style w:type="paragraph" w:customStyle="1" w:styleId="AMIAHeading">
    <w:name w:val="AMIA Heading"/>
    <w:basedOn w:val="Normal"/>
    <w:rsid w:val="00121D58"/>
    <w:pPr>
      <w:keepNext/>
      <w:spacing w:before="120" w:after="120" w:line="240" w:lineRule="auto"/>
      <w:jc w:val="both"/>
      <w:outlineLvl w:val="0"/>
    </w:pPr>
    <w:rPr>
      <w:rFonts w:ascii="Times New Roman" w:eastAsia="Times New Roman" w:hAnsi="Times New Roman"/>
      <w:b/>
      <w:sz w:val="20"/>
      <w:lang w:val="en-US" w:eastAsia="en-US"/>
    </w:rPr>
  </w:style>
  <w:style w:type="paragraph" w:customStyle="1" w:styleId="AMIAAbstractHeading">
    <w:name w:val="AMIA Abstract Heading"/>
    <w:basedOn w:val="AMIAHeading"/>
    <w:rsid w:val="00121D58"/>
    <w:pPr>
      <w:spacing w:before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A765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765E"/>
    <w:rPr>
      <w:rFonts w:ascii="Tahoma" w:hAnsi="Tahoma" w:cs="Tahoma"/>
      <w:sz w:val="16"/>
      <w:szCs w:val="16"/>
      <w:lang w:val="en-GB" w:eastAsia="en-GB"/>
    </w:rPr>
  </w:style>
  <w:style w:type="table" w:styleId="TableGrid">
    <w:name w:val="Table Grid"/>
    <w:basedOn w:val="TableNormal"/>
    <w:uiPriority w:val="59"/>
    <w:rsid w:val="00FA60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498</Words>
  <Characters>2826</Characters>
  <Application>Microsoft Macintosh Word</Application>
  <DocSecurity>0</DocSecurity>
  <Lines>108</Lines>
  <Paragraphs>62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Nixon</dc:creator>
  <cp:lastModifiedBy>Antoinette Jordan</cp:lastModifiedBy>
  <cp:revision>2</cp:revision>
  <dcterms:created xsi:type="dcterms:W3CDTF">2012-09-12T15:51:00Z</dcterms:created>
  <dcterms:modified xsi:type="dcterms:W3CDTF">2012-09-12T15:51:00Z</dcterms:modified>
</cp:coreProperties>
</file>